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696087" w14:textId="77777777" w:rsidR="00305DEB" w:rsidRPr="00BF54A2" w:rsidRDefault="00305DEB" w:rsidP="00305DEB">
      <w:pPr>
        <w:rPr>
          <w:rFonts w:ascii="Courier" w:hAnsi="Courier" w:cs="Courier" w:hint="eastAsia"/>
          <w:kern w:val="0"/>
          <w:sz w:val="28"/>
          <w:szCs w:val="28"/>
        </w:rPr>
      </w:pPr>
      <w:bookmarkStart w:id="0" w:name="_GoBack"/>
      <w:r w:rsidRPr="00BF54A2">
        <w:rPr>
          <w:sz w:val="28"/>
          <w:szCs w:val="28"/>
        </w:rPr>
        <w:t xml:space="preserve">TWELF 2014 </w:t>
      </w:r>
      <w:r w:rsidRPr="00BF54A2">
        <w:rPr>
          <w:sz w:val="28"/>
          <w:szCs w:val="28"/>
        </w:rPr>
        <w:t>研討會</w:t>
      </w:r>
      <w:r w:rsidRPr="00BF54A2">
        <w:rPr>
          <w:rFonts w:hint="eastAsia"/>
          <w:sz w:val="28"/>
          <w:szCs w:val="28"/>
        </w:rPr>
        <w:t>（三）</w:t>
      </w:r>
      <w:r w:rsidRPr="00BF54A2">
        <w:rPr>
          <w:rFonts w:ascii="Courier" w:hAnsi="Courier" w:cs="Courier"/>
          <w:kern w:val="0"/>
          <w:sz w:val="28"/>
          <w:szCs w:val="28"/>
        </w:rPr>
        <w:t>從眼動儀的偵測潛能談整合數位圖文的學習負荷</w:t>
      </w:r>
    </w:p>
    <w:p w14:paraId="63A8E419" w14:textId="77777777" w:rsidR="007950BE" w:rsidRPr="00BF54A2" w:rsidRDefault="007950BE" w:rsidP="00305DEB">
      <w:pPr>
        <w:rPr>
          <w:rFonts w:hint="eastAsia"/>
          <w:sz w:val="28"/>
          <w:szCs w:val="28"/>
        </w:rPr>
      </w:pPr>
    </w:p>
    <w:p w14:paraId="614370BE" w14:textId="77777777" w:rsidR="00305DEB" w:rsidRPr="00BF54A2" w:rsidRDefault="00305DEB" w:rsidP="00305DEB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 w:rsidRPr="00BF54A2">
        <w:rPr>
          <w:rFonts w:ascii="Courier" w:hAnsi="Courier" w:cs="Courier"/>
          <w:kern w:val="0"/>
          <w:sz w:val="28"/>
          <w:szCs w:val="28"/>
        </w:rPr>
        <w:t>主</w:t>
      </w:r>
      <w:r w:rsidRPr="00BF54A2">
        <w:rPr>
          <w:rFonts w:ascii="Courier" w:hAnsi="Courier" w:cs="Courier"/>
          <w:kern w:val="0"/>
          <w:sz w:val="28"/>
          <w:szCs w:val="28"/>
        </w:rPr>
        <w:t xml:space="preserve"> </w:t>
      </w:r>
      <w:r w:rsidRPr="00BF54A2">
        <w:rPr>
          <w:rFonts w:ascii="Courier" w:hAnsi="Courier" w:cs="Courier"/>
          <w:kern w:val="0"/>
          <w:sz w:val="28"/>
          <w:szCs w:val="28"/>
        </w:rPr>
        <w:t>題</w:t>
      </w:r>
      <w:r w:rsidRPr="00BF54A2">
        <w:rPr>
          <w:rFonts w:ascii="Courier" w:hAnsi="Courier" w:cs="Courier"/>
          <w:kern w:val="0"/>
          <w:sz w:val="28"/>
          <w:szCs w:val="28"/>
        </w:rPr>
        <w:t>:</w:t>
      </w:r>
      <w:r w:rsidRPr="00BF54A2">
        <w:rPr>
          <w:rFonts w:ascii="Courier" w:hAnsi="Courier" w:cs="Courier"/>
          <w:kern w:val="0"/>
          <w:sz w:val="28"/>
          <w:szCs w:val="28"/>
        </w:rPr>
        <w:t>從眼動儀的偵測潛能談整合數位圖文的學習負荷</w:t>
      </w:r>
    </w:p>
    <w:p w14:paraId="734904CF" w14:textId="77777777" w:rsidR="00305DEB" w:rsidRPr="00BF54A2" w:rsidRDefault="00305DEB" w:rsidP="00305DEB">
      <w:pPr>
        <w:widowControl/>
        <w:autoSpaceDE w:val="0"/>
        <w:autoSpaceDN w:val="0"/>
        <w:adjustRightInd w:val="0"/>
        <w:spacing w:after="240"/>
        <w:jc w:val="left"/>
        <w:rPr>
          <w:rFonts w:ascii="Calibri" w:hAnsi="Calibri" w:cs="Calibri" w:hint="eastAsia"/>
          <w:kern w:val="0"/>
          <w:sz w:val="28"/>
          <w:szCs w:val="28"/>
        </w:rPr>
      </w:pPr>
      <w:r w:rsidRPr="00BF54A2">
        <w:rPr>
          <w:rFonts w:ascii="Calibri" w:hAnsi="Calibri" w:cs="Calibri"/>
          <w:kern w:val="0"/>
          <w:sz w:val="28"/>
          <w:szCs w:val="28"/>
        </w:rPr>
        <w:t xml:space="preserve">Cognitive loads derived from the integration of diagram and text in multimedia environment: The role and potential of eye movement data </w:t>
      </w:r>
    </w:p>
    <w:p w14:paraId="534A6698" w14:textId="77777777" w:rsidR="00305DEB" w:rsidRPr="00BF54A2" w:rsidRDefault="00305DEB" w:rsidP="00305DEB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  <w:sz w:val="28"/>
          <w:szCs w:val="28"/>
        </w:rPr>
      </w:pPr>
      <w:r w:rsidRPr="00BF54A2">
        <w:rPr>
          <w:rFonts w:ascii="Times" w:hAnsi="Times" w:cs="Times"/>
          <w:kern w:val="0"/>
          <w:sz w:val="28"/>
          <w:szCs w:val="28"/>
        </w:rPr>
        <w:t>演講人</w:t>
      </w:r>
      <w:r w:rsidRPr="00BF54A2">
        <w:rPr>
          <w:rFonts w:ascii="Times" w:hAnsi="Times" w:cs="Times"/>
          <w:kern w:val="0"/>
          <w:sz w:val="28"/>
          <w:szCs w:val="28"/>
        </w:rPr>
        <w:t>:</w:t>
      </w:r>
      <w:r w:rsidRPr="00BF54A2">
        <w:rPr>
          <w:rFonts w:ascii="Times" w:hAnsi="Times" w:cs="Times"/>
          <w:kern w:val="0"/>
          <w:sz w:val="28"/>
          <w:szCs w:val="28"/>
        </w:rPr>
        <w:t>國立交通大學</w:t>
      </w:r>
      <w:r w:rsidRPr="00BF54A2">
        <w:rPr>
          <w:rFonts w:ascii="Times" w:hAnsi="Times" w:cs="Times"/>
          <w:kern w:val="0"/>
          <w:sz w:val="28"/>
          <w:szCs w:val="28"/>
        </w:rPr>
        <w:t xml:space="preserve"> </w:t>
      </w:r>
      <w:r w:rsidRPr="00BF54A2">
        <w:rPr>
          <w:rFonts w:ascii="Times" w:hAnsi="Times" w:cs="Times"/>
          <w:kern w:val="0"/>
          <w:sz w:val="28"/>
          <w:szCs w:val="28"/>
        </w:rPr>
        <w:t>林珊如教授</w:t>
      </w:r>
    </w:p>
    <w:p w14:paraId="684EB68C" w14:textId="77777777" w:rsidR="00305DEB" w:rsidRPr="00BF54A2" w:rsidRDefault="00305DEB" w:rsidP="00305DEB">
      <w:pPr>
        <w:rPr>
          <w:rFonts w:hint="eastAsia"/>
          <w:sz w:val="28"/>
          <w:szCs w:val="28"/>
        </w:rPr>
      </w:pPr>
      <w:r w:rsidRPr="00BF54A2">
        <w:rPr>
          <w:rFonts w:hint="eastAsia"/>
          <w:sz w:val="28"/>
          <w:szCs w:val="28"/>
        </w:rPr>
        <w:t>時間：</w:t>
      </w:r>
      <w:r w:rsidRPr="00BF54A2">
        <w:rPr>
          <w:rFonts w:hint="eastAsia"/>
          <w:sz w:val="28"/>
          <w:szCs w:val="28"/>
        </w:rPr>
        <w:t>2014</w:t>
      </w:r>
      <w:r w:rsidRPr="00BF54A2">
        <w:rPr>
          <w:rFonts w:hint="eastAsia"/>
          <w:sz w:val="28"/>
          <w:szCs w:val="28"/>
        </w:rPr>
        <w:t>年</w:t>
      </w:r>
      <w:r w:rsidRPr="00BF54A2">
        <w:rPr>
          <w:rFonts w:hint="eastAsia"/>
          <w:sz w:val="28"/>
          <w:szCs w:val="28"/>
        </w:rPr>
        <w:t>11</w:t>
      </w:r>
      <w:r w:rsidRPr="00BF54A2">
        <w:rPr>
          <w:rFonts w:hint="eastAsia"/>
          <w:sz w:val="28"/>
          <w:szCs w:val="28"/>
        </w:rPr>
        <w:t>月</w:t>
      </w:r>
      <w:r w:rsidRPr="00BF54A2">
        <w:rPr>
          <w:rFonts w:hint="eastAsia"/>
          <w:sz w:val="28"/>
          <w:szCs w:val="28"/>
        </w:rPr>
        <w:t>14</w:t>
      </w:r>
      <w:r w:rsidRPr="00BF54A2">
        <w:rPr>
          <w:rFonts w:hint="eastAsia"/>
          <w:sz w:val="28"/>
          <w:szCs w:val="28"/>
        </w:rPr>
        <w:t>日</w:t>
      </w:r>
      <w:r w:rsidRPr="00BF54A2">
        <w:rPr>
          <w:rFonts w:hint="eastAsia"/>
          <w:sz w:val="28"/>
          <w:szCs w:val="28"/>
        </w:rPr>
        <w:t xml:space="preserve"> AM09</w:t>
      </w:r>
      <w:r w:rsidRPr="00BF54A2">
        <w:rPr>
          <w:rFonts w:hint="eastAsia"/>
          <w:sz w:val="28"/>
          <w:szCs w:val="28"/>
        </w:rPr>
        <w:t>：</w:t>
      </w:r>
      <w:r w:rsidRPr="00BF54A2">
        <w:rPr>
          <w:rFonts w:hint="eastAsia"/>
          <w:sz w:val="28"/>
          <w:szCs w:val="28"/>
        </w:rPr>
        <w:t>30</w:t>
      </w:r>
      <w:r w:rsidRPr="00BF54A2">
        <w:rPr>
          <w:rFonts w:hint="eastAsia"/>
          <w:sz w:val="28"/>
          <w:szCs w:val="28"/>
        </w:rPr>
        <w:t>﹣</w:t>
      </w:r>
      <w:r w:rsidRPr="00BF54A2">
        <w:rPr>
          <w:rFonts w:hint="eastAsia"/>
          <w:sz w:val="28"/>
          <w:szCs w:val="28"/>
        </w:rPr>
        <w:t>10</w:t>
      </w:r>
      <w:r w:rsidRPr="00BF54A2">
        <w:rPr>
          <w:rFonts w:hint="eastAsia"/>
          <w:sz w:val="28"/>
          <w:szCs w:val="28"/>
        </w:rPr>
        <w:t>：</w:t>
      </w:r>
      <w:r w:rsidRPr="00BF54A2">
        <w:rPr>
          <w:rFonts w:hint="eastAsia"/>
          <w:sz w:val="28"/>
          <w:szCs w:val="28"/>
        </w:rPr>
        <w:t>40</w:t>
      </w:r>
    </w:p>
    <w:p w14:paraId="2EBE1731" w14:textId="77777777" w:rsidR="00305DEB" w:rsidRPr="00BF54A2" w:rsidRDefault="00305DEB" w:rsidP="00305DEB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  <w:sz w:val="28"/>
          <w:szCs w:val="28"/>
        </w:rPr>
      </w:pPr>
      <w:r w:rsidRPr="00BF54A2">
        <w:rPr>
          <w:rFonts w:hint="eastAsia"/>
          <w:sz w:val="28"/>
          <w:szCs w:val="28"/>
        </w:rPr>
        <w:t>地點：</w:t>
      </w:r>
      <w:r w:rsidRPr="00BF54A2">
        <w:rPr>
          <w:rFonts w:ascii="Times" w:hAnsi="Times" w:cs="Times"/>
          <w:kern w:val="0"/>
          <w:sz w:val="28"/>
          <w:szCs w:val="28"/>
        </w:rPr>
        <w:t>國立臺灣師範大學進修推廣學院</w:t>
      </w:r>
    </w:p>
    <w:p w14:paraId="4D8C6FB8" w14:textId="77777777" w:rsidR="00305DEB" w:rsidRPr="00BF54A2" w:rsidRDefault="00305DEB" w:rsidP="00305DEB">
      <w:pPr>
        <w:rPr>
          <w:rFonts w:hint="eastAsia"/>
          <w:sz w:val="28"/>
          <w:szCs w:val="28"/>
        </w:rPr>
      </w:pPr>
    </w:p>
    <w:p w14:paraId="1FA6B32C" w14:textId="77777777" w:rsidR="00305DEB" w:rsidRPr="00BF54A2" w:rsidRDefault="007950BE" w:rsidP="00305DEB">
      <w:pPr>
        <w:rPr>
          <w:rFonts w:hint="eastAsia"/>
          <w:sz w:val="28"/>
          <w:szCs w:val="28"/>
        </w:rPr>
      </w:pPr>
      <w:r w:rsidRPr="00BF54A2">
        <w:rPr>
          <w:rFonts w:hint="eastAsia"/>
          <w:sz w:val="28"/>
          <w:szCs w:val="28"/>
        </w:rPr>
        <w:t>眼動儀不算是個新產品，但是多數的研究都在探討使用眼動儀來偵測專注力，學習認知形態等議題。超媒體的出現及載體使得教學的運用上，圖文整合性的課程變多了，這回林珊如教授特別從『認知負荷』這個角度來看問題。而眼動儀是用來評測『認知負荷』是否過大的問題。</w:t>
      </w:r>
    </w:p>
    <w:p w14:paraId="593463D8" w14:textId="77777777" w:rsidR="007950BE" w:rsidRPr="00BF54A2" w:rsidRDefault="007950BE" w:rsidP="00305DEB">
      <w:pPr>
        <w:rPr>
          <w:rFonts w:hint="eastAsia"/>
          <w:sz w:val="28"/>
          <w:szCs w:val="28"/>
        </w:rPr>
      </w:pPr>
    </w:p>
    <w:p w14:paraId="49E72C89" w14:textId="77777777" w:rsidR="007950BE" w:rsidRPr="00BF54A2" w:rsidRDefault="007950BE" w:rsidP="00305DEB">
      <w:pPr>
        <w:rPr>
          <w:rFonts w:hint="eastAsia"/>
          <w:sz w:val="28"/>
          <w:szCs w:val="28"/>
        </w:rPr>
      </w:pPr>
      <w:r w:rsidRPr="00BF54A2">
        <w:rPr>
          <w:rFonts w:hint="eastAsia"/>
          <w:sz w:val="28"/>
          <w:szCs w:val="28"/>
        </w:rPr>
        <w:t>過去我們把圖文整合當成是數位教材的主元素，所謂的教材數位化就是要加入多媒體甚至超媒體的教學元素。但是林珊如老師用眼動儀來追蹤小學五六年級的學生，卻發現多媒體的運用在數位教材上，未必就一定能提高學習成效。因為有些學習者（低成就）會花更多是注意力在文字與圖片之間</w:t>
      </w:r>
      <w:r w:rsidR="00ED500B" w:rsidRPr="00BF54A2">
        <w:rPr>
          <w:rFonts w:hint="eastAsia"/>
          <w:sz w:val="28"/>
          <w:szCs w:val="28"/>
        </w:rPr>
        <w:t>，來回掃描；增加內部的認知負荷，反而降低了學習成效。</w:t>
      </w:r>
    </w:p>
    <w:p w14:paraId="44A46028" w14:textId="77777777" w:rsidR="00ED500B" w:rsidRPr="00BF54A2" w:rsidRDefault="00ED500B" w:rsidP="00305DEB">
      <w:pPr>
        <w:rPr>
          <w:rFonts w:hint="eastAsia"/>
          <w:sz w:val="28"/>
          <w:szCs w:val="28"/>
        </w:rPr>
      </w:pPr>
    </w:p>
    <w:p w14:paraId="7109B6F2" w14:textId="77777777" w:rsidR="00ED500B" w:rsidRPr="00BF54A2" w:rsidRDefault="00ED500B" w:rsidP="00305DEB">
      <w:pPr>
        <w:rPr>
          <w:rFonts w:hint="eastAsia"/>
          <w:sz w:val="28"/>
          <w:szCs w:val="28"/>
        </w:rPr>
      </w:pPr>
      <w:r w:rsidRPr="00BF54A2">
        <w:rPr>
          <w:rFonts w:hint="eastAsia"/>
          <w:sz w:val="28"/>
          <w:szCs w:val="28"/>
        </w:rPr>
        <w:t>這個結論太讓我們意外了，幾乎顛覆了在數位教材設計上的基本概念。無論是</w:t>
      </w:r>
      <w:r w:rsidRPr="00BF54A2">
        <w:rPr>
          <w:rFonts w:hint="eastAsia"/>
          <w:sz w:val="28"/>
          <w:szCs w:val="28"/>
        </w:rPr>
        <w:t>ISD</w:t>
      </w:r>
      <w:r w:rsidRPr="00BF54A2">
        <w:rPr>
          <w:rFonts w:hint="eastAsia"/>
          <w:sz w:val="28"/>
          <w:szCs w:val="28"/>
        </w:rPr>
        <w:t>或是</w:t>
      </w:r>
      <w:r w:rsidRPr="00BF54A2">
        <w:rPr>
          <w:rFonts w:hint="eastAsia"/>
          <w:sz w:val="28"/>
          <w:szCs w:val="28"/>
        </w:rPr>
        <w:t>Web-based</w:t>
      </w:r>
      <w:r w:rsidRPr="00BF54A2">
        <w:rPr>
          <w:rFonts w:hint="eastAsia"/>
          <w:sz w:val="28"/>
          <w:szCs w:val="28"/>
        </w:rPr>
        <w:t>都集中在討論圖片，動畫，</w:t>
      </w:r>
      <w:r w:rsidRPr="00BF54A2">
        <w:rPr>
          <w:rFonts w:hint="eastAsia"/>
          <w:sz w:val="28"/>
          <w:szCs w:val="28"/>
        </w:rPr>
        <w:t>3D</w:t>
      </w:r>
      <w:r w:rsidRPr="00BF54A2">
        <w:rPr>
          <w:rFonts w:hint="eastAsia"/>
          <w:sz w:val="28"/>
          <w:szCs w:val="28"/>
        </w:rPr>
        <w:t>，影像上的使用。就算是</w:t>
      </w:r>
      <w:r w:rsidRPr="00BF54A2">
        <w:rPr>
          <w:rFonts w:hint="eastAsia"/>
          <w:sz w:val="28"/>
          <w:szCs w:val="28"/>
        </w:rPr>
        <w:t>ADDIE</w:t>
      </w:r>
      <w:r w:rsidRPr="00BF54A2">
        <w:rPr>
          <w:rFonts w:hint="eastAsia"/>
          <w:sz w:val="28"/>
          <w:szCs w:val="28"/>
        </w:rPr>
        <w:t>模式，在發展的階段也是儘可能得用上所有的色彩，圖形，照片等技術；讓畫面更吸引學習者。但是吸引學習者是不是就能增加學習成效？從林珊如老師的研究可能要在課程的設計階段把『認知負荷』的因數考慮進去。也就是在媒體分析階段必須注意到學習者的『認知負荷』是否過載的問題。</w:t>
      </w:r>
    </w:p>
    <w:p w14:paraId="1CBC48A5" w14:textId="77777777" w:rsidR="00ED500B" w:rsidRPr="00BF54A2" w:rsidRDefault="00ED500B" w:rsidP="00305DEB">
      <w:pPr>
        <w:rPr>
          <w:rFonts w:hint="eastAsia"/>
          <w:sz w:val="28"/>
          <w:szCs w:val="28"/>
        </w:rPr>
      </w:pPr>
    </w:p>
    <w:p w14:paraId="7E3B969D" w14:textId="77777777" w:rsidR="00ED500B" w:rsidRPr="00BF54A2" w:rsidRDefault="00ED500B" w:rsidP="00305DEB">
      <w:pPr>
        <w:rPr>
          <w:rFonts w:hint="eastAsia"/>
          <w:sz w:val="28"/>
          <w:szCs w:val="28"/>
        </w:rPr>
      </w:pPr>
      <w:r w:rsidRPr="00BF54A2">
        <w:rPr>
          <w:rFonts w:hint="eastAsia"/>
          <w:sz w:val="28"/>
          <w:szCs w:val="28"/>
        </w:rPr>
        <w:t>同樣的例子，我們也曾經在</w:t>
      </w:r>
      <w:r w:rsidRPr="00BF54A2">
        <w:rPr>
          <w:rFonts w:hint="eastAsia"/>
          <w:sz w:val="28"/>
          <w:szCs w:val="28"/>
        </w:rPr>
        <w:t>Game-based</w:t>
      </w:r>
      <w:r w:rsidRPr="00BF54A2">
        <w:rPr>
          <w:rFonts w:hint="eastAsia"/>
          <w:sz w:val="28"/>
          <w:szCs w:val="28"/>
        </w:rPr>
        <w:t>的教學設計出現過。大量的色彩，媒體可以增加學習者的學習動機；但是沒有辦法增加大多的學習成效。而且帶來另外一個問題﹣學習的效率下降的問題。</w:t>
      </w:r>
    </w:p>
    <w:p w14:paraId="4F0DF979" w14:textId="77777777" w:rsidR="00ED500B" w:rsidRPr="00BF54A2" w:rsidRDefault="00ED500B" w:rsidP="00305DEB">
      <w:pPr>
        <w:rPr>
          <w:rFonts w:hint="eastAsia"/>
          <w:sz w:val="28"/>
          <w:szCs w:val="28"/>
        </w:rPr>
      </w:pPr>
    </w:p>
    <w:p w14:paraId="66287B49" w14:textId="77777777" w:rsidR="00ED500B" w:rsidRPr="00BF54A2" w:rsidRDefault="00ED500B" w:rsidP="00305DEB">
      <w:pPr>
        <w:rPr>
          <w:rFonts w:hint="eastAsia"/>
          <w:sz w:val="28"/>
          <w:szCs w:val="28"/>
        </w:rPr>
      </w:pPr>
      <w:r w:rsidRPr="00BF54A2">
        <w:rPr>
          <w:rFonts w:hint="eastAsia"/>
          <w:sz w:val="28"/>
          <w:szCs w:val="28"/>
        </w:rPr>
        <w:t>看來，對媒體的運用，在數位教學設計上仍然有很多的盲點是我們未曾注意到的。不斷的學習可以讓我們少犯一點錯誤。</w:t>
      </w:r>
    </w:p>
    <w:p w14:paraId="3A0E81AD" w14:textId="77777777" w:rsidR="008B6946" w:rsidRPr="00BF54A2" w:rsidRDefault="008B6946" w:rsidP="00305DEB">
      <w:pPr>
        <w:rPr>
          <w:sz w:val="28"/>
          <w:szCs w:val="28"/>
        </w:rPr>
      </w:pPr>
    </w:p>
    <w:bookmarkEnd w:id="0"/>
    <w:sectPr w:rsidR="008B6946" w:rsidRPr="00BF54A2" w:rsidSect="00BF54A2">
      <w:pgSz w:w="12240" w:h="15840"/>
      <w:pgMar w:top="1134" w:right="1758" w:bottom="1134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DEB"/>
    <w:rsid w:val="00305DEB"/>
    <w:rsid w:val="00692326"/>
    <w:rsid w:val="007950BE"/>
    <w:rsid w:val="008B6946"/>
    <w:rsid w:val="00BF54A2"/>
    <w:rsid w:val="00ED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F6AB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135</Words>
  <Characters>770</Characters>
  <Application>Microsoft Macintosh Word</Application>
  <DocSecurity>0</DocSecurity>
  <Lines>6</Lines>
  <Paragraphs>1</Paragraphs>
  <ScaleCrop>false</ScaleCrop>
  <Company>福州长颈鹿幼儿园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Wang</dc:creator>
  <cp:keywords/>
  <dc:description/>
  <cp:lastModifiedBy>Mac Wang</cp:lastModifiedBy>
  <cp:revision>3</cp:revision>
  <dcterms:created xsi:type="dcterms:W3CDTF">2014-11-14T09:05:00Z</dcterms:created>
  <dcterms:modified xsi:type="dcterms:W3CDTF">2014-11-14T09:50:00Z</dcterms:modified>
</cp:coreProperties>
</file>